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E2" w:rsidRPr="006865E5" w:rsidRDefault="003D78E2" w:rsidP="00C863E5">
      <w:pPr>
        <w:pStyle w:val="ListParagraph"/>
        <w:spacing w:line="480" w:lineRule="auto"/>
        <w:jc w:val="both"/>
        <w:rPr>
          <w:rFonts w:ascii="Tahoma" w:hAnsi="Tahoma" w:cs="Tahoma"/>
          <w:b/>
          <w:color w:val="000000" w:themeColor="text1"/>
        </w:rPr>
      </w:pPr>
      <w:bookmarkStart w:id="0" w:name="_GoBack"/>
      <w:bookmarkEnd w:id="0"/>
    </w:p>
    <w:p w:rsidR="003D78E2" w:rsidRPr="00331AE6" w:rsidRDefault="003D78E2" w:rsidP="003D78E2">
      <w:pPr>
        <w:rPr>
          <w:strike/>
          <w:vertAlign w:val="subscript"/>
        </w:rPr>
      </w:pPr>
    </w:p>
    <w:p w:rsidR="003D78E2" w:rsidRPr="00F01968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Pr="00F01968" w:rsidRDefault="00366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 w:rsidRPr="00CD048D">
        <w:rPr>
          <w:rFonts w:ascii="Shruti" w:hAnsi="Shruti" w:cs="Shruti"/>
          <w:noProof/>
          <w:color w:val="1F497D"/>
          <w:sz w:val="50"/>
          <w:szCs w:val="50"/>
          <w:lang w:val="en-ZA" w:eastAsia="en-ZA"/>
        </w:rPr>
        <w:drawing>
          <wp:inline distT="0" distB="0" distL="0" distR="0" wp14:anchorId="29D02252" wp14:editId="30C16487">
            <wp:extent cx="1724025" cy="1162050"/>
            <wp:effectExtent l="19050" t="0" r="9525" b="0"/>
            <wp:docPr id="1" name="Picture 4" descr="Univen Logo Final Ju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n Logo Final Jun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8E2" w:rsidRPr="003D5C08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Quality Driven, Finan</w:t>
      </w:r>
      <w:r w:rsidR="007356C0">
        <w:rPr>
          <w:rFonts w:ascii="Tahoma" w:hAnsi="Tahoma" w:cs="Tahoma"/>
        </w:rPr>
        <w:t xml:space="preserve">cially Sustainable, </w:t>
      </w:r>
      <w:r>
        <w:rPr>
          <w:rFonts w:ascii="Tahoma" w:hAnsi="Tahoma" w:cs="Tahoma"/>
        </w:rPr>
        <w:t xml:space="preserve">Comprehensive University </w:t>
      </w:r>
    </w:p>
    <w:p w:rsidR="003D78E2" w:rsidRPr="00F01968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3D78E2" w:rsidRPr="00F01968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Pr="00F01968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Pr="00F01968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Pr="00F01968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Pr="00F01968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Pr="003668E2" w:rsidRDefault="003D78E2" w:rsidP="00B46F7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sz w:val="44"/>
          <w:szCs w:val="44"/>
        </w:rPr>
      </w:pPr>
      <w:r>
        <w:rPr>
          <w:sz w:val="44"/>
          <w:szCs w:val="44"/>
        </w:rPr>
        <w:t>PROCEDURE MANUAL FOR SELECTION</w:t>
      </w:r>
      <w:r w:rsidR="003668E2">
        <w:rPr>
          <w:sz w:val="44"/>
          <w:szCs w:val="44"/>
        </w:rPr>
        <w:t xml:space="preserve"> &amp; FINALISATION</w:t>
      </w:r>
      <w:r>
        <w:rPr>
          <w:sz w:val="44"/>
          <w:szCs w:val="44"/>
        </w:rPr>
        <w:t xml:space="preserve"> </w:t>
      </w:r>
      <w:r w:rsidR="008433E8">
        <w:rPr>
          <w:sz w:val="44"/>
          <w:szCs w:val="44"/>
        </w:rPr>
        <w:t>OF GRADUANDI</w:t>
      </w:r>
      <w:r w:rsidR="003668E2">
        <w:rPr>
          <w:sz w:val="44"/>
          <w:szCs w:val="44"/>
        </w:rPr>
        <w:t xml:space="preserve"> LISTS</w:t>
      </w:r>
    </w:p>
    <w:p w:rsidR="003D78E2" w:rsidRPr="00F01968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D78E2" w:rsidRPr="00235725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ahoma" w:hAnsi="Tahoma" w:cs="Tahoma"/>
        </w:rPr>
      </w:pPr>
    </w:p>
    <w:p w:rsidR="003D78E2" w:rsidRPr="00235725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ahoma" w:hAnsi="Tahoma" w:cs="Tahoma"/>
        </w:rPr>
      </w:pPr>
    </w:p>
    <w:p w:rsidR="003D78E2" w:rsidRPr="000E7A62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ahoma" w:hAnsi="Tahoma" w:cs="Tahoma"/>
        </w:rPr>
      </w:pPr>
    </w:p>
    <w:p w:rsidR="003D78E2" w:rsidRPr="000E7A62" w:rsidRDefault="007356C0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ahoma" w:hAnsi="Tahoma" w:cs="Tahoma"/>
        </w:rPr>
      </w:pPr>
      <w:r w:rsidRPr="000E7A62">
        <w:rPr>
          <w:rFonts w:ascii="Tahoma" w:hAnsi="Tahoma" w:cs="Tahoma"/>
        </w:rPr>
        <w:tab/>
      </w:r>
      <w:r w:rsidRPr="000E7A62">
        <w:rPr>
          <w:rFonts w:ascii="Tahoma" w:hAnsi="Tahoma" w:cs="Tahoma"/>
        </w:rPr>
        <w:tab/>
      </w:r>
      <w:r w:rsidRPr="000E7A62">
        <w:rPr>
          <w:rFonts w:ascii="Tahoma" w:hAnsi="Tahoma" w:cs="Tahoma"/>
        </w:rPr>
        <w:tab/>
      </w:r>
      <w:r w:rsidRPr="000E7A62">
        <w:rPr>
          <w:rFonts w:ascii="Tahoma" w:hAnsi="Tahoma" w:cs="Tahoma"/>
        </w:rPr>
        <w:tab/>
      </w:r>
      <w:r w:rsidR="000E7A62">
        <w:rPr>
          <w:rFonts w:ascii="Tahoma" w:hAnsi="Tahoma" w:cs="Tahoma"/>
        </w:rPr>
        <w:tab/>
      </w:r>
      <w:r w:rsidRPr="000E7A62">
        <w:rPr>
          <w:rFonts w:ascii="Tahoma" w:hAnsi="Tahoma" w:cs="Tahoma"/>
        </w:rPr>
        <w:t>13 MAY 2013</w:t>
      </w:r>
    </w:p>
    <w:p w:rsidR="003D78E2" w:rsidRPr="00235725" w:rsidRDefault="003D78E2" w:rsidP="003D78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ahoma" w:hAnsi="Tahoma" w:cs="Tahoma"/>
        </w:rPr>
      </w:pPr>
    </w:p>
    <w:p w:rsidR="003D78E2" w:rsidRDefault="003D78E2" w:rsidP="003D78E2">
      <w:pPr>
        <w:rPr>
          <w:rFonts w:ascii="Tahoma" w:hAnsi="Tahoma" w:cs="Tahoma"/>
          <w:color w:val="000000" w:themeColor="text1"/>
          <w:u w:val="single"/>
        </w:rPr>
        <w:sectPr w:rsidR="003D78E2" w:rsidSect="0078603F">
          <w:footerReference w:type="default" r:id="rId9"/>
          <w:pgSz w:w="12240" w:h="15840"/>
          <w:pgMar w:top="1440" w:right="1800" w:bottom="1440" w:left="990" w:header="720" w:footer="720" w:gutter="0"/>
          <w:cols w:space="720"/>
          <w:docGrid w:linePitch="360"/>
        </w:sectPr>
      </w:pPr>
    </w:p>
    <w:p w:rsidR="003D78E2" w:rsidRPr="00211E49" w:rsidRDefault="003D78E2" w:rsidP="00211E4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11E4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UNIVERSITY OF VENDA</w:t>
      </w:r>
    </w:p>
    <w:p w:rsidR="003D78E2" w:rsidRPr="00211E49" w:rsidRDefault="003D78E2" w:rsidP="00211E4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3D78E2" w:rsidRPr="00211E49" w:rsidRDefault="003D78E2" w:rsidP="00211E4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b/>
          <w:color w:val="000000" w:themeColor="text1"/>
          <w:sz w:val="22"/>
          <w:szCs w:val="22"/>
        </w:rPr>
        <w:t>Objective</w:t>
      </w:r>
    </w:p>
    <w:p w:rsidR="003D78E2" w:rsidRPr="00211E49" w:rsidRDefault="003D78E2" w:rsidP="00211E49">
      <w:pPr>
        <w:pStyle w:val="ListParagraph"/>
        <w:tabs>
          <w:tab w:val="left" w:pos="630"/>
        </w:tabs>
        <w:spacing w:line="360" w:lineRule="auto"/>
        <w:ind w:left="10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D78E2" w:rsidRPr="00211E49" w:rsidRDefault="003D78E2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The procedure manual is to regulate and streamline the </w:t>
      </w:r>
      <w:r w:rsidR="00B46F7B" w:rsidRPr="00211E49">
        <w:rPr>
          <w:rFonts w:ascii="Arial" w:hAnsi="Arial" w:cs="Arial"/>
          <w:color w:val="000000" w:themeColor="text1"/>
          <w:sz w:val="22"/>
          <w:szCs w:val="22"/>
        </w:rPr>
        <w:t xml:space="preserve">selection </w:t>
      </w:r>
      <w:r w:rsidR="003668E2" w:rsidRPr="00211E49">
        <w:rPr>
          <w:rFonts w:ascii="Arial" w:hAnsi="Arial" w:cs="Arial"/>
          <w:color w:val="000000" w:themeColor="text1"/>
          <w:sz w:val="22"/>
          <w:szCs w:val="22"/>
        </w:rPr>
        <w:t xml:space="preserve">and finalization of </w:t>
      </w:r>
      <w:r w:rsidR="007356C0">
        <w:rPr>
          <w:rFonts w:ascii="Arial" w:hAnsi="Arial" w:cs="Arial"/>
          <w:color w:val="000000" w:themeColor="text1"/>
          <w:sz w:val="22"/>
          <w:szCs w:val="22"/>
        </w:rPr>
        <w:t xml:space="preserve">undergraduate </w:t>
      </w:r>
      <w:proofErr w:type="spellStart"/>
      <w:r w:rsidR="003668E2" w:rsidRPr="00211E49">
        <w:rPr>
          <w:rFonts w:ascii="Arial" w:hAnsi="Arial" w:cs="Arial"/>
          <w:color w:val="000000" w:themeColor="text1"/>
          <w:sz w:val="22"/>
          <w:szCs w:val="22"/>
        </w:rPr>
        <w:t>graduandi</w:t>
      </w:r>
      <w:proofErr w:type="spellEnd"/>
      <w:r w:rsidR="003668E2" w:rsidRPr="00211E49">
        <w:rPr>
          <w:rFonts w:ascii="Arial" w:hAnsi="Arial" w:cs="Arial"/>
          <w:color w:val="000000" w:themeColor="text1"/>
          <w:sz w:val="22"/>
          <w:szCs w:val="22"/>
        </w:rPr>
        <w:t xml:space="preserve"> lists, leading to awarding of </w:t>
      </w:r>
      <w:r w:rsidR="00E76E52" w:rsidRPr="00211E49">
        <w:rPr>
          <w:rFonts w:ascii="Arial" w:hAnsi="Arial" w:cs="Arial"/>
          <w:color w:val="000000" w:themeColor="text1"/>
          <w:sz w:val="22"/>
          <w:szCs w:val="22"/>
        </w:rPr>
        <w:t xml:space="preserve">Degrees, Diplomas, and Certificates </w:t>
      </w:r>
      <w:r w:rsidR="00B46F7B" w:rsidRPr="00211E49">
        <w:rPr>
          <w:rFonts w:ascii="Arial" w:hAnsi="Arial" w:cs="Arial"/>
          <w:color w:val="000000" w:themeColor="text1"/>
          <w:sz w:val="22"/>
          <w:szCs w:val="22"/>
        </w:rPr>
        <w:t>to candidates who had fulfilled the requirements</w:t>
      </w:r>
      <w:r w:rsidR="003668E2" w:rsidRPr="00211E4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D78E2" w:rsidRPr="00211E49" w:rsidRDefault="003D78E2" w:rsidP="00211E49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D78E2" w:rsidRPr="00211E49" w:rsidRDefault="00CB4ED1" w:rsidP="00211E49">
      <w:pPr>
        <w:pStyle w:val="ListParagraph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b/>
          <w:color w:val="000000" w:themeColor="text1"/>
          <w:sz w:val="22"/>
          <w:szCs w:val="22"/>
        </w:rPr>
        <w:t>Se</w:t>
      </w:r>
      <w:r w:rsidR="003668E2" w:rsidRPr="00211E49">
        <w:rPr>
          <w:rFonts w:ascii="Arial" w:hAnsi="Arial" w:cs="Arial"/>
          <w:b/>
          <w:color w:val="000000" w:themeColor="text1"/>
          <w:sz w:val="22"/>
          <w:szCs w:val="22"/>
        </w:rPr>
        <w:t>le</w:t>
      </w:r>
      <w:r w:rsidRPr="00211E49">
        <w:rPr>
          <w:rFonts w:ascii="Arial" w:hAnsi="Arial" w:cs="Arial"/>
          <w:b/>
          <w:color w:val="000000" w:themeColor="text1"/>
          <w:sz w:val="22"/>
          <w:szCs w:val="22"/>
        </w:rPr>
        <w:t>ction of the candidates</w:t>
      </w:r>
    </w:p>
    <w:p w:rsidR="00CB4ED1" w:rsidRPr="00211E49" w:rsidRDefault="00CB4ED1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21115" w:rsidRPr="00211E49" w:rsidRDefault="00CB4ED1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The School Administrator</w:t>
      </w:r>
      <w:r w:rsidR="003668E2" w:rsidRPr="00211E49">
        <w:rPr>
          <w:rFonts w:ascii="Arial" w:hAnsi="Arial" w:cs="Arial"/>
          <w:color w:val="000000" w:themeColor="text1"/>
          <w:sz w:val="22"/>
          <w:szCs w:val="22"/>
        </w:rPr>
        <w:t>s</w:t>
      </w: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 shall select candidates to be awarded </w:t>
      </w:r>
      <w:r w:rsidR="003668E2" w:rsidRPr="00211E49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211E49">
        <w:rPr>
          <w:rFonts w:ascii="Arial" w:hAnsi="Arial" w:cs="Arial"/>
          <w:color w:val="000000" w:themeColor="text1"/>
          <w:sz w:val="22"/>
          <w:szCs w:val="22"/>
        </w:rPr>
        <w:t>Degrees; Diplomas or Certificates within the School.</w:t>
      </w:r>
      <w:r w:rsidR="002668E5" w:rsidRPr="00211E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1115" w:rsidRPr="00211E49">
        <w:rPr>
          <w:rFonts w:ascii="Arial" w:hAnsi="Arial" w:cs="Arial"/>
          <w:color w:val="000000" w:themeColor="text1"/>
          <w:sz w:val="22"/>
          <w:szCs w:val="22"/>
        </w:rPr>
        <w:t>During selection of candidates to graduate, t</w:t>
      </w:r>
      <w:r w:rsidR="002668E5" w:rsidRPr="00211E49">
        <w:rPr>
          <w:rFonts w:ascii="Arial" w:hAnsi="Arial" w:cs="Arial"/>
          <w:color w:val="000000" w:themeColor="text1"/>
          <w:sz w:val="22"/>
          <w:szCs w:val="22"/>
        </w:rPr>
        <w:t>he School Administrator</w:t>
      </w:r>
      <w:r w:rsidR="00721115" w:rsidRPr="00211E49">
        <w:rPr>
          <w:rFonts w:ascii="Arial" w:hAnsi="Arial" w:cs="Arial"/>
          <w:color w:val="000000" w:themeColor="text1"/>
          <w:sz w:val="22"/>
          <w:szCs w:val="22"/>
        </w:rPr>
        <w:t xml:space="preserve"> has to ensure that selected candidates have met the following requirements:</w:t>
      </w:r>
    </w:p>
    <w:p w:rsidR="00721115" w:rsidRPr="00211E49" w:rsidRDefault="00721115" w:rsidP="00211E49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21115" w:rsidRPr="00211E49" w:rsidRDefault="00721115" w:rsidP="00211E49">
      <w:pPr>
        <w:pStyle w:val="ListParagraph"/>
        <w:numPr>
          <w:ilvl w:val="1"/>
          <w:numId w:val="3"/>
        </w:numPr>
        <w:spacing w:line="360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Academic requirements</w:t>
      </w:r>
    </w:p>
    <w:p w:rsidR="00721115" w:rsidRPr="00211E49" w:rsidRDefault="00721115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21115" w:rsidRPr="00211E49" w:rsidRDefault="004356FA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The candidate should have complied with all the requirements for such a Degree, Diploma, and a Certificate.</w:t>
      </w:r>
    </w:p>
    <w:p w:rsidR="004356FA" w:rsidRPr="00211E49" w:rsidRDefault="004356FA" w:rsidP="00211E49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356FA" w:rsidRPr="00211E49" w:rsidRDefault="004356FA" w:rsidP="00211E49">
      <w:pPr>
        <w:pStyle w:val="ListParagraph"/>
        <w:numPr>
          <w:ilvl w:val="1"/>
          <w:numId w:val="3"/>
        </w:numPr>
        <w:spacing w:line="360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Administrative requirements</w:t>
      </w:r>
    </w:p>
    <w:p w:rsidR="004356FA" w:rsidRPr="00211E49" w:rsidRDefault="004356FA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356FA" w:rsidRPr="00211E49" w:rsidRDefault="003B5F7F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The candidate should have:</w:t>
      </w:r>
    </w:p>
    <w:p w:rsidR="003B5F7F" w:rsidRPr="00211E49" w:rsidRDefault="003B5F7F" w:rsidP="00211E49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B5F7F" w:rsidRPr="00211E49" w:rsidRDefault="003B5F7F" w:rsidP="00211E49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Fully paid the study fees</w:t>
      </w:r>
    </w:p>
    <w:p w:rsidR="003B5F7F" w:rsidRPr="00211E49" w:rsidRDefault="003B5F7F" w:rsidP="00211E49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Submitted </w:t>
      </w:r>
      <w:r w:rsidR="00594DD5" w:rsidRPr="00211E49">
        <w:rPr>
          <w:rFonts w:ascii="Arial" w:hAnsi="Arial" w:cs="Arial"/>
          <w:color w:val="000000" w:themeColor="text1"/>
          <w:sz w:val="22"/>
          <w:szCs w:val="22"/>
        </w:rPr>
        <w:t>authentic - original and certified copies</w:t>
      </w: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 of matriculation</w:t>
      </w:r>
      <w:r w:rsidR="000C65F8" w:rsidRPr="00211E49">
        <w:rPr>
          <w:rFonts w:ascii="Arial" w:hAnsi="Arial" w:cs="Arial"/>
          <w:color w:val="000000" w:themeColor="text1"/>
          <w:sz w:val="22"/>
          <w:szCs w:val="22"/>
        </w:rPr>
        <w:t>;</w:t>
      </w:r>
      <w:r w:rsidR="003668E2" w:rsidRPr="00211E49">
        <w:rPr>
          <w:rFonts w:ascii="Arial" w:hAnsi="Arial" w:cs="Arial"/>
          <w:color w:val="000000" w:themeColor="text1"/>
          <w:sz w:val="22"/>
          <w:szCs w:val="22"/>
        </w:rPr>
        <w:t xml:space="preserve"> or </w:t>
      </w:r>
      <w:r w:rsidRPr="00211E49">
        <w:rPr>
          <w:rFonts w:ascii="Arial" w:hAnsi="Arial" w:cs="Arial"/>
          <w:color w:val="000000" w:themeColor="text1"/>
          <w:sz w:val="22"/>
          <w:szCs w:val="22"/>
        </w:rPr>
        <w:t>exemption</w:t>
      </w:r>
      <w:r w:rsidR="000C65F8" w:rsidRPr="00211E49">
        <w:rPr>
          <w:rFonts w:ascii="Arial" w:hAnsi="Arial" w:cs="Arial"/>
          <w:color w:val="000000" w:themeColor="text1"/>
          <w:sz w:val="22"/>
          <w:szCs w:val="22"/>
        </w:rPr>
        <w:t>;</w:t>
      </w: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 or NSC / NCV certificate.</w:t>
      </w:r>
    </w:p>
    <w:p w:rsidR="003B5F7F" w:rsidRPr="00211E49" w:rsidRDefault="000C65F8" w:rsidP="00211E49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Submitted an original and c</w:t>
      </w:r>
      <w:r w:rsidR="003B5F7F" w:rsidRPr="00211E49">
        <w:rPr>
          <w:rFonts w:ascii="Arial" w:hAnsi="Arial" w:cs="Arial"/>
          <w:color w:val="000000" w:themeColor="text1"/>
          <w:sz w:val="22"/>
          <w:szCs w:val="22"/>
        </w:rPr>
        <w:t>ertified copy of the front page of the I.D. book</w:t>
      </w:r>
      <w:r w:rsidRPr="00211E4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668E2" w:rsidRPr="00211E49" w:rsidRDefault="00D2569F" w:rsidP="00211E49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The candidates’ names, ID numbers are correctly captured on the ITS </w:t>
      </w:r>
    </w:p>
    <w:p w:rsidR="003B5F7F" w:rsidRPr="00211E49" w:rsidRDefault="003B5F7F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45182" w:rsidRDefault="00B46F7B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3B5F7F" w:rsidRPr="00211E49">
        <w:rPr>
          <w:rFonts w:ascii="Arial" w:hAnsi="Arial" w:cs="Arial"/>
          <w:color w:val="000000" w:themeColor="text1"/>
          <w:sz w:val="22"/>
          <w:szCs w:val="22"/>
        </w:rPr>
        <w:t>The candidate should not be having any pending disciplinary</w:t>
      </w:r>
      <w:r w:rsidR="006C7FB8" w:rsidRPr="00211E49">
        <w:rPr>
          <w:rFonts w:ascii="Arial" w:hAnsi="Arial" w:cs="Arial"/>
          <w:color w:val="000000" w:themeColor="text1"/>
          <w:sz w:val="22"/>
          <w:szCs w:val="22"/>
        </w:rPr>
        <w:t xml:space="preserve"> action</w:t>
      </w:r>
      <w:r w:rsidR="00052647" w:rsidRPr="00211E4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11E49" w:rsidRDefault="00211E49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863E5" w:rsidRDefault="00C863E5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863E5" w:rsidRDefault="00C863E5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4DD5" w:rsidRPr="00211E49" w:rsidRDefault="00594DD5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B5F7F" w:rsidRPr="00211E49" w:rsidRDefault="00145182" w:rsidP="00211E4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The selection process</w:t>
      </w:r>
      <w:r w:rsidR="003B5F7F" w:rsidRPr="00211E4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D2569F" w:rsidRPr="00211E49" w:rsidRDefault="00D2569F" w:rsidP="00211E4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569F" w:rsidRPr="00211E49" w:rsidRDefault="00D2569F" w:rsidP="00211E49">
      <w:pPr>
        <w:pStyle w:val="ListParagraph"/>
        <w:numPr>
          <w:ilvl w:val="1"/>
          <w:numId w:val="3"/>
        </w:numPr>
        <w:spacing w:line="360" w:lineRule="auto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The School Administrator</w:t>
      </w:r>
    </w:p>
    <w:p w:rsidR="00145182" w:rsidRPr="00211E49" w:rsidRDefault="00145182" w:rsidP="00211E4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45182" w:rsidRPr="00211E49" w:rsidRDefault="00145182" w:rsidP="00211E49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During </w:t>
      </w:r>
      <w:r w:rsidR="000C65F8" w:rsidRPr="00211E49">
        <w:rPr>
          <w:rFonts w:ascii="Arial" w:hAnsi="Arial" w:cs="Arial"/>
          <w:color w:val="000000" w:themeColor="text1"/>
          <w:sz w:val="22"/>
          <w:szCs w:val="22"/>
        </w:rPr>
        <w:t>Selection process, the School Administrator has to:</w:t>
      </w:r>
    </w:p>
    <w:p w:rsidR="00D2569F" w:rsidRPr="00211E49" w:rsidRDefault="00D2569F" w:rsidP="00211E49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569F" w:rsidRPr="00211E49" w:rsidRDefault="00D2569F" w:rsidP="00211E49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Print global list for all students registered for the previous year within the School.</w:t>
      </w:r>
    </w:p>
    <w:p w:rsidR="00D2569F" w:rsidRPr="00211E49" w:rsidRDefault="00D2569F" w:rsidP="00211E49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Go through the </w:t>
      </w:r>
      <w:r w:rsidR="005D213D" w:rsidRPr="00211E49">
        <w:rPr>
          <w:rFonts w:ascii="Arial" w:hAnsi="Arial" w:cs="Arial"/>
          <w:color w:val="000000" w:themeColor="text1"/>
          <w:sz w:val="22"/>
          <w:szCs w:val="22"/>
        </w:rPr>
        <w:t>transcripts of academic records identifying candidates who had fulfilled the requirements to be awarded their Qualifications.</w:t>
      </w:r>
    </w:p>
    <w:p w:rsidR="00D516B8" w:rsidRDefault="005D213D" w:rsidP="00C863E5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Compile the graduandi list per Qualification.</w:t>
      </w:r>
    </w:p>
    <w:p w:rsidR="00D516B8" w:rsidRPr="00C863E5" w:rsidRDefault="00D516B8" w:rsidP="00C863E5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63E5">
        <w:rPr>
          <w:rFonts w:ascii="Arial" w:hAnsi="Arial" w:cs="Arial"/>
          <w:color w:val="000000" w:themeColor="text1"/>
          <w:sz w:val="22"/>
          <w:szCs w:val="22"/>
        </w:rPr>
        <w:t>Supervision by Assistant Registrar: Student Administration</w:t>
      </w:r>
    </w:p>
    <w:p w:rsidR="00D516B8" w:rsidRDefault="00D516B8" w:rsidP="00211E49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list must be signed by the administrator and the Assistant Registrar.</w:t>
      </w:r>
    </w:p>
    <w:p w:rsidR="00D516B8" w:rsidRDefault="00D516B8" w:rsidP="00211E49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list is then submitted to the relevant Head of Department for the qualification/Dean.</w:t>
      </w:r>
    </w:p>
    <w:p w:rsidR="005D213D" w:rsidRPr="00211E49" w:rsidRDefault="005D213D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D396B" w:rsidRPr="00211E49" w:rsidRDefault="00AD396B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D213D" w:rsidRPr="00211E49" w:rsidRDefault="005D213D" w:rsidP="00211E49">
      <w:pPr>
        <w:pStyle w:val="ListParagraph"/>
        <w:numPr>
          <w:ilvl w:val="1"/>
          <w:numId w:val="3"/>
        </w:numPr>
        <w:spacing w:line="360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Head of Department</w:t>
      </w:r>
    </w:p>
    <w:p w:rsidR="0047074B" w:rsidRPr="00211E49" w:rsidRDefault="0047074B" w:rsidP="00211E4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7074B" w:rsidRPr="00211E49" w:rsidRDefault="0047074B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As Head of the Department, the HOD shall:</w:t>
      </w:r>
    </w:p>
    <w:p w:rsidR="0047074B" w:rsidRPr="00211E49" w:rsidRDefault="0047074B" w:rsidP="00211E49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Receive graduandi list and transcripts of academic records (i.e. for Qualifications within the Department) from the School Administrator.</w:t>
      </w:r>
    </w:p>
    <w:p w:rsidR="0047074B" w:rsidRPr="00211E49" w:rsidRDefault="00D516B8" w:rsidP="00211E49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Dep</w:t>
      </w:r>
      <w:r w:rsidR="00AD396B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rtmental Examinations Committee </w:t>
      </w:r>
      <w:r w:rsidR="00594DD5">
        <w:rPr>
          <w:rFonts w:ascii="Arial" w:hAnsi="Arial" w:cs="Arial"/>
          <w:color w:val="000000" w:themeColor="text1"/>
          <w:sz w:val="22"/>
          <w:szCs w:val="22"/>
        </w:rPr>
        <w:t>meets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to c</w:t>
      </w:r>
      <w:r w:rsidR="0047074B" w:rsidRPr="00211E49">
        <w:rPr>
          <w:rFonts w:ascii="Arial" w:hAnsi="Arial" w:cs="Arial"/>
          <w:color w:val="000000" w:themeColor="text1"/>
          <w:sz w:val="22"/>
          <w:szCs w:val="22"/>
        </w:rPr>
        <w:t xml:space="preserve">hecks and </w:t>
      </w:r>
      <w:r w:rsidR="00594DD5" w:rsidRPr="00211E49">
        <w:rPr>
          <w:rFonts w:ascii="Arial" w:hAnsi="Arial" w:cs="Arial"/>
          <w:color w:val="000000" w:themeColor="text1"/>
          <w:sz w:val="22"/>
          <w:szCs w:val="22"/>
        </w:rPr>
        <w:t>verifies</w:t>
      </w:r>
      <w:r w:rsidR="0047074B" w:rsidRPr="00211E49">
        <w:rPr>
          <w:rFonts w:ascii="Arial" w:hAnsi="Arial" w:cs="Arial"/>
          <w:color w:val="000000" w:themeColor="text1"/>
          <w:sz w:val="22"/>
          <w:szCs w:val="22"/>
        </w:rPr>
        <w:t xml:space="preserve"> that the candidates on the list did fulfill the requirements for the Qualification to be awarded.</w:t>
      </w:r>
    </w:p>
    <w:p w:rsidR="0047074B" w:rsidRDefault="00D516B8" w:rsidP="00211E49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head of department r</w:t>
      </w:r>
      <w:r w:rsidR="00E602F5" w:rsidRPr="00211E49">
        <w:rPr>
          <w:rFonts w:ascii="Arial" w:hAnsi="Arial" w:cs="Arial"/>
          <w:color w:val="000000" w:themeColor="text1"/>
          <w:sz w:val="22"/>
          <w:szCs w:val="22"/>
        </w:rPr>
        <w:t xml:space="preserve">ecommends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the School Examinations Committee the </w:t>
      </w:r>
      <w:r w:rsidR="00E602F5" w:rsidRPr="00211E49">
        <w:rPr>
          <w:rFonts w:ascii="Arial" w:hAnsi="Arial" w:cs="Arial"/>
          <w:color w:val="000000" w:themeColor="text1"/>
          <w:sz w:val="22"/>
          <w:szCs w:val="22"/>
        </w:rPr>
        <w:t>awarding of the Qualification to candidates on the graduandi lists.</w:t>
      </w:r>
    </w:p>
    <w:p w:rsidR="00E602F5" w:rsidRPr="00211E49" w:rsidRDefault="00E602F5" w:rsidP="00211E49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The graduandi lists, with recommendations are returned to the School Administrator</w:t>
      </w:r>
      <w:r w:rsidR="00A60287" w:rsidRPr="00211E49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 w:rsidR="00B46F7B" w:rsidRPr="00211E49">
        <w:rPr>
          <w:rFonts w:ascii="Arial" w:hAnsi="Arial" w:cs="Arial"/>
          <w:color w:val="000000" w:themeColor="text1"/>
          <w:sz w:val="22"/>
          <w:szCs w:val="22"/>
        </w:rPr>
        <w:t>consolidation</w:t>
      </w:r>
      <w:r w:rsidRPr="00211E4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602F5" w:rsidRPr="00211E49" w:rsidRDefault="00E602F5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602F5" w:rsidRPr="00211E49" w:rsidRDefault="00E602F5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602F5" w:rsidRPr="00211E49" w:rsidRDefault="00E602F5" w:rsidP="00211E49">
      <w:pPr>
        <w:pStyle w:val="ListParagraph"/>
        <w:numPr>
          <w:ilvl w:val="1"/>
          <w:numId w:val="3"/>
        </w:numPr>
        <w:spacing w:line="360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School Examination </w:t>
      </w:r>
      <w:r w:rsidR="00D516B8">
        <w:rPr>
          <w:rFonts w:ascii="Arial" w:hAnsi="Arial" w:cs="Arial"/>
          <w:color w:val="000000" w:themeColor="text1"/>
          <w:sz w:val="22"/>
          <w:szCs w:val="22"/>
        </w:rPr>
        <w:t>Committee</w:t>
      </w: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 meeting</w:t>
      </w:r>
    </w:p>
    <w:p w:rsidR="00030A45" w:rsidRPr="00211E49" w:rsidRDefault="00030A45" w:rsidP="00211E4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30A45" w:rsidRPr="00211E49" w:rsidRDefault="00030A45" w:rsidP="00211E49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Shall be constituted by the Dean.</w:t>
      </w:r>
    </w:p>
    <w:p w:rsidR="00030A45" w:rsidRPr="00211E49" w:rsidRDefault="00030A45" w:rsidP="00211E49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Consolidated </w:t>
      </w:r>
      <w:r w:rsidR="00AC4C0E" w:rsidRPr="00211E49">
        <w:rPr>
          <w:rFonts w:ascii="Arial" w:hAnsi="Arial" w:cs="Arial"/>
          <w:color w:val="000000" w:themeColor="text1"/>
          <w:sz w:val="22"/>
          <w:szCs w:val="22"/>
        </w:rPr>
        <w:t xml:space="preserve">Schools’ graduandi </w:t>
      </w: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lists, </w:t>
      </w:r>
      <w:r w:rsidR="00AC4C0E" w:rsidRPr="00211E49">
        <w:rPr>
          <w:rFonts w:ascii="Arial" w:hAnsi="Arial" w:cs="Arial"/>
          <w:color w:val="000000" w:themeColor="text1"/>
          <w:sz w:val="22"/>
          <w:szCs w:val="22"/>
        </w:rPr>
        <w:t xml:space="preserve">recommended </w:t>
      </w:r>
      <w:r w:rsidR="00D516B8">
        <w:rPr>
          <w:rFonts w:ascii="Arial" w:hAnsi="Arial" w:cs="Arial"/>
          <w:color w:val="000000" w:themeColor="text1"/>
          <w:sz w:val="22"/>
          <w:szCs w:val="22"/>
        </w:rPr>
        <w:t xml:space="preserve">by </w:t>
      </w:r>
      <w:r w:rsidRPr="00211E49">
        <w:rPr>
          <w:rFonts w:ascii="Arial" w:hAnsi="Arial" w:cs="Arial"/>
          <w:color w:val="000000" w:themeColor="text1"/>
          <w:sz w:val="22"/>
          <w:szCs w:val="22"/>
        </w:rPr>
        <w:t>HOD’</w:t>
      </w:r>
      <w:r w:rsidR="00AC4C0E" w:rsidRPr="00211E49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Pr="00211E49">
        <w:rPr>
          <w:rFonts w:ascii="Arial" w:hAnsi="Arial" w:cs="Arial"/>
          <w:color w:val="000000" w:themeColor="text1"/>
          <w:sz w:val="22"/>
          <w:szCs w:val="22"/>
        </w:rPr>
        <w:t>serve at the meeting.</w:t>
      </w:r>
    </w:p>
    <w:p w:rsidR="00AC4C0E" w:rsidRPr="00211E49" w:rsidRDefault="00030A45" w:rsidP="00211E49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T</w:t>
      </w:r>
      <w:r w:rsidR="00AC4C0E" w:rsidRPr="00211E49">
        <w:rPr>
          <w:rFonts w:ascii="Arial" w:hAnsi="Arial" w:cs="Arial"/>
          <w:color w:val="000000" w:themeColor="text1"/>
          <w:sz w:val="22"/>
          <w:szCs w:val="22"/>
        </w:rPr>
        <w:t>he School Examination Board meeting approves the graduandi lists.</w:t>
      </w:r>
    </w:p>
    <w:p w:rsidR="00030A45" w:rsidRPr="00211E49" w:rsidRDefault="001048B9" w:rsidP="00211E49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lastRenderedPageBreak/>
        <w:t>A consolidated Schools’ graduandi list is approved by the Dean</w:t>
      </w:r>
      <w:r w:rsidR="00A32911" w:rsidRPr="00211E49">
        <w:rPr>
          <w:rFonts w:ascii="Arial" w:hAnsi="Arial" w:cs="Arial"/>
          <w:color w:val="000000" w:themeColor="text1"/>
          <w:sz w:val="22"/>
          <w:szCs w:val="22"/>
        </w:rPr>
        <w:t>, and graduation statistical information is brought to SENEX for notification</w:t>
      </w:r>
      <w:r w:rsidRPr="00211E4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048B9" w:rsidRPr="00211E49" w:rsidRDefault="001048B9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60287" w:rsidRPr="00211E49" w:rsidRDefault="00D516B8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A60287" w:rsidRPr="00211E49" w:rsidRDefault="00A60287" w:rsidP="00211E49">
      <w:pPr>
        <w:pStyle w:val="ListParagraph"/>
        <w:numPr>
          <w:ilvl w:val="1"/>
          <w:numId w:val="3"/>
        </w:numPr>
        <w:spacing w:line="360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Examination Section</w:t>
      </w:r>
    </w:p>
    <w:p w:rsidR="00A60287" w:rsidRPr="00211E49" w:rsidRDefault="00A60287" w:rsidP="00211E4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6659B" w:rsidRDefault="00A32911" w:rsidP="00211E49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The Chief Examinations Officer shall receive </w:t>
      </w:r>
      <w:r w:rsidR="00D6659B">
        <w:rPr>
          <w:rFonts w:ascii="Arial" w:hAnsi="Arial" w:cs="Arial"/>
          <w:color w:val="000000" w:themeColor="text1"/>
          <w:sz w:val="22"/>
          <w:szCs w:val="22"/>
        </w:rPr>
        <w:t>signed Schools’ graduandi lists.</w:t>
      </w:r>
    </w:p>
    <w:p w:rsidR="00A60287" w:rsidRDefault="001912B2" w:rsidP="00211E49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Examination </w:t>
      </w:r>
      <w:r w:rsidR="00D6659B">
        <w:rPr>
          <w:rFonts w:ascii="Arial" w:hAnsi="Arial" w:cs="Arial"/>
          <w:color w:val="000000" w:themeColor="text1"/>
          <w:sz w:val="22"/>
          <w:szCs w:val="22"/>
        </w:rPr>
        <w:t>section generates a 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ist to verify the </w:t>
      </w:r>
      <w:r w:rsidR="00D6659B">
        <w:rPr>
          <w:rFonts w:ascii="Arial" w:hAnsi="Arial" w:cs="Arial"/>
          <w:color w:val="000000" w:themeColor="text1"/>
          <w:sz w:val="22"/>
          <w:szCs w:val="22"/>
        </w:rPr>
        <w:t xml:space="preserve">correctness of ceremonial dates and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decision dates for awarding </w:t>
      </w:r>
      <w:r w:rsidR="00D6659B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>
        <w:rPr>
          <w:rFonts w:ascii="Arial" w:hAnsi="Arial" w:cs="Arial"/>
          <w:color w:val="000000" w:themeColor="text1"/>
          <w:sz w:val="22"/>
          <w:szCs w:val="22"/>
        </w:rPr>
        <w:t>the qualifications.</w:t>
      </w:r>
    </w:p>
    <w:p w:rsidR="00981A38" w:rsidRDefault="00981A38" w:rsidP="00211E49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verified list is prepared and signed by the Assistant registrar Examinations and </w:t>
      </w:r>
      <w:r w:rsidR="00594DD5">
        <w:rPr>
          <w:rFonts w:ascii="Arial" w:hAnsi="Arial" w:cs="Arial"/>
          <w:color w:val="000000" w:themeColor="text1"/>
          <w:sz w:val="22"/>
          <w:szCs w:val="22"/>
        </w:rPr>
        <w:t>Auxiliary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services; recommended for Final approval by the Deputy Registrar and approved by the Registrar. </w:t>
      </w:r>
    </w:p>
    <w:p w:rsidR="001912B2" w:rsidRPr="00D6659B" w:rsidRDefault="001912B2" w:rsidP="00D6659B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659B">
        <w:rPr>
          <w:rFonts w:ascii="Arial" w:hAnsi="Arial" w:cs="Arial"/>
          <w:color w:val="000000" w:themeColor="text1"/>
          <w:sz w:val="22"/>
          <w:szCs w:val="22"/>
        </w:rPr>
        <w:t xml:space="preserve">Additional </w:t>
      </w:r>
      <w:r w:rsidR="00D6659B">
        <w:rPr>
          <w:rFonts w:ascii="Arial" w:hAnsi="Arial" w:cs="Arial"/>
          <w:color w:val="000000" w:themeColor="text1"/>
          <w:sz w:val="22"/>
          <w:szCs w:val="22"/>
        </w:rPr>
        <w:t xml:space="preserve">graduandi </w:t>
      </w:r>
      <w:r w:rsidRPr="00D6659B">
        <w:rPr>
          <w:rFonts w:ascii="Arial" w:hAnsi="Arial" w:cs="Arial"/>
          <w:color w:val="000000" w:themeColor="text1"/>
          <w:sz w:val="22"/>
          <w:szCs w:val="22"/>
        </w:rPr>
        <w:t>list</w:t>
      </w:r>
      <w:r w:rsidR="00D6659B">
        <w:rPr>
          <w:rFonts w:ascii="Arial" w:hAnsi="Arial" w:cs="Arial"/>
          <w:color w:val="000000" w:themeColor="text1"/>
          <w:sz w:val="22"/>
          <w:szCs w:val="22"/>
        </w:rPr>
        <w:t>s</w:t>
      </w:r>
      <w:r w:rsidRPr="00D6659B">
        <w:rPr>
          <w:rFonts w:ascii="Arial" w:hAnsi="Arial" w:cs="Arial"/>
          <w:color w:val="000000" w:themeColor="text1"/>
          <w:sz w:val="22"/>
          <w:szCs w:val="22"/>
        </w:rPr>
        <w:t xml:space="preserve"> should be signed by Deans</w:t>
      </w:r>
    </w:p>
    <w:p w:rsidR="00A32911" w:rsidRPr="00211E49" w:rsidRDefault="00A32911" w:rsidP="00211E49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>Certificates are printed, and signed by designated office bearers.</w:t>
      </w:r>
    </w:p>
    <w:p w:rsidR="00981A38" w:rsidRDefault="00981A38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30F7B" w:rsidRDefault="00981A38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2.5 Time lines</w:t>
      </w:r>
    </w:p>
    <w:p w:rsidR="00981A38" w:rsidRDefault="00981A38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NB: There is a deadline for Finalisation of Graduandi lists usually in April.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160"/>
        <w:gridCol w:w="2988"/>
      </w:tblGrid>
      <w:tr w:rsidR="00981A38" w:rsidTr="00AD396B">
        <w:tc>
          <w:tcPr>
            <w:tcW w:w="4518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Activity</w:t>
            </w:r>
          </w:p>
        </w:tc>
        <w:tc>
          <w:tcPr>
            <w:tcW w:w="2160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Dates for meetings</w:t>
            </w:r>
          </w:p>
        </w:tc>
        <w:tc>
          <w:tcPr>
            <w:tcW w:w="2988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Deadline for submission</w:t>
            </w:r>
          </w:p>
        </w:tc>
      </w:tr>
      <w:tr w:rsidR="00981A38" w:rsidTr="00AD396B">
        <w:tc>
          <w:tcPr>
            <w:tcW w:w="4518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63E5">
              <w:rPr>
                <w:rFonts w:ascii="Arial" w:hAnsi="Arial" w:cs="Arial"/>
                <w:color w:val="000000" w:themeColor="text1"/>
                <w:sz w:val="22"/>
                <w:szCs w:val="22"/>
              </w:rPr>
              <w:t>The School Administrator selection process</w:t>
            </w:r>
          </w:p>
        </w:tc>
        <w:tc>
          <w:tcPr>
            <w:tcW w:w="2160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February</w:t>
            </w:r>
          </w:p>
        </w:tc>
        <w:tc>
          <w:tcPr>
            <w:tcW w:w="2988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28 February</w:t>
            </w:r>
          </w:p>
        </w:tc>
      </w:tr>
      <w:tr w:rsidR="00981A38" w:rsidTr="00AD396B">
        <w:tc>
          <w:tcPr>
            <w:tcW w:w="4518" w:type="dxa"/>
          </w:tcPr>
          <w:p w:rsidR="00981A38" w:rsidRDefault="00981A38" w:rsidP="00981A3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 Departmental Processes</w:t>
            </w:r>
          </w:p>
        </w:tc>
        <w:tc>
          <w:tcPr>
            <w:tcW w:w="2160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March</w:t>
            </w:r>
          </w:p>
        </w:tc>
        <w:tc>
          <w:tcPr>
            <w:tcW w:w="2988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 March</w:t>
            </w:r>
          </w:p>
        </w:tc>
      </w:tr>
      <w:tr w:rsidR="00981A38" w:rsidTr="00AD396B">
        <w:tc>
          <w:tcPr>
            <w:tcW w:w="4518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 School Processes</w:t>
            </w:r>
          </w:p>
        </w:tc>
        <w:tc>
          <w:tcPr>
            <w:tcW w:w="2160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March</w:t>
            </w:r>
          </w:p>
        </w:tc>
        <w:tc>
          <w:tcPr>
            <w:tcW w:w="2988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 March</w:t>
            </w:r>
          </w:p>
        </w:tc>
      </w:tr>
      <w:tr w:rsidR="00981A38" w:rsidTr="00AD396B">
        <w:tc>
          <w:tcPr>
            <w:tcW w:w="4518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 submission of Final list by School Administrator to Examinations</w:t>
            </w:r>
          </w:p>
        </w:tc>
        <w:tc>
          <w:tcPr>
            <w:tcW w:w="2160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88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Deadline on University year plan (usually in April</w:t>
            </w:r>
            <w:r w:rsidR="00AD396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81A38" w:rsidTr="00AD396B">
        <w:tc>
          <w:tcPr>
            <w:tcW w:w="4518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 Examinations Section processes</w:t>
            </w:r>
          </w:p>
        </w:tc>
        <w:tc>
          <w:tcPr>
            <w:tcW w:w="2160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April</w:t>
            </w:r>
          </w:p>
        </w:tc>
        <w:tc>
          <w:tcPr>
            <w:tcW w:w="2988" w:type="dxa"/>
          </w:tcPr>
          <w:p w:rsidR="00981A38" w:rsidRDefault="00981A38" w:rsidP="00211E4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Final submission of lists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Dzaga, 30 April</w:t>
            </w:r>
          </w:p>
        </w:tc>
      </w:tr>
    </w:tbl>
    <w:p w:rsidR="00981A38" w:rsidRDefault="00981A38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30F7B" w:rsidRPr="00211E49" w:rsidRDefault="000F7B02" w:rsidP="00211E4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 candidate not appearing on the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graduandi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list, and is of opinion that s/he is eligible to graduate, has to lodge an appeal to the Deputy Registrar: Academic Administration.</w:t>
      </w:r>
    </w:p>
    <w:p w:rsidR="00CB4ED1" w:rsidRPr="00211E49" w:rsidRDefault="002668E5" w:rsidP="00211E49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E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="00CB4ED1" w:rsidRPr="00211E49" w:rsidSect="007C11F8">
      <w:footerReference w:type="default" r:id="rId10"/>
      <w:pgSz w:w="12240" w:h="15840"/>
      <w:pgMar w:top="1440" w:right="1800" w:bottom="1440" w:left="99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39" w:rsidRDefault="00722739">
      <w:r>
        <w:separator/>
      </w:r>
    </w:p>
  </w:endnote>
  <w:endnote w:type="continuationSeparator" w:id="0">
    <w:p w:rsidR="00722739" w:rsidRDefault="0072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62" w:rsidRDefault="00722739">
    <w:pPr>
      <w:pStyle w:val="Footer"/>
    </w:pPr>
  </w:p>
  <w:p w:rsidR="00930162" w:rsidRDefault="007227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6769"/>
      <w:docPartObj>
        <w:docPartGallery w:val="Page Numbers (Bottom of Page)"/>
        <w:docPartUnique/>
      </w:docPartObj>
    </w:sdtPr>
    <w:sdtEndPr/>
    <w:sdtContent>
      <w:p w:rsidR="007C11F8" w:rsidRDefault="000C65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8A2">
          <w:rPr>
            <w:noProof/>
          </w:rPr>
          <w:t>3</w:t>
        </w:r>
        <w:r>
          <w:fldChar w:fldCharType="end"/>
        </w:r>
      </w:p>
    </w:sdtContent>
  </w:sdt>
  <w:p w:rsidR="007C11F8" w:rsidRDefault="00722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39" w:rsidRDefault="00722739">
      <w:r>
        <w:separator/>
      </w:r>
    </w:p>
  </w:footnote>
  <w:footnote w:type="continuationSeparator" w:id="0">
    <w:p w:rsidR="00722739" w:rsidRDefault="0072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404"/>
    <w:multiLevelType w:val="hybridMultilevel"/>
    <w:tmpl w:val="8432D4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575"/>
    <w:multiLevelType w:val="hybridMultilevel"/>
    <w:tmpl w:val="F8AA24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974CD"/>
    <w:multiLevelType w:val="hybridMultilevel"/>
    <w:tmpl w:val="236C2C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E4818"/>
    <w:multiLevelType w:val="hybridMultilevel"/>
    <w:tmpl w:val="00EA88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F580C"/>
    <w:multiLevelType w:val="hybridMultilevel"/>
    <w:tmpl w:val="1ACC663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775933"/>
    <w:multiLevelType w:val="multilevel"/>
    <w:tmpl w:val="A7D6421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29F0808"/>
    <w:multiLevelType w:val="multilevel"/>
    <w:tmpl w:val="F9CE0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>
    <w:nsid w:val="62603959"/>
    <w:multiLevelType w:val="hybridMultilevel"/>
    <w:tmpl w:val="71403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7012E8"/>
    <w:multiLevelType w:val="hybridMultilevel"/>
    <w:tmpl w:val="E6781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CE1531"/>
    <w:multiLevelType w:val="hybridMultilevel"/>
    <w:tmpl w:val="7384F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E2"/>
    <w:rsid w:val="00030A45"/>
    <w:rsid w:val="00052647"/>
    <w:rsid w:val="000C65F8"/>
    <w:rsid w:val="000E7A62"/>
    <w:rsid w:val="000F7B02"/>
    <w:rsid w:val="001048B9"/>
    <w:rsid w:val="00130F7B"/>
    <w:rsid w:val="00145182"/>
    <w:rsid w:val="001858A1"/>
    <w:rsid w:val="001912B2"/>
    <w:rsid w:val="00211E49"/>
    <w:rsid w:val="002668E5"/>
    <w:rsid w:val="002C380E"/>
    <w:rsid w:val="0031297A"/>
    <w:rsid w:val="003437DA"/>
    <w:rsid w:val="003668E2"/>
    <w:rsid w:val="003B5F7F"/>
    <w:rsid w:val="003D510B"/>
    <w:rsid w:val="003D78E2"/>
    <w:rsid w:val="004356FA"/>
    <w:rsid w:val="0047074B"/>
    <w:rsid w:val="004932BB"/>
    <w:rsid w:val="004A7208"/>
    <w:rsid w:val="00594DD5"/>
    <w:rsid w:val="005D213D"/>
    <w:rsid w:val="006C7FB8"/>
    <w:rsid w:val="00721115"/>
    <w:rsid w:val="00722739"/>
    <w:rsid w:val="007356C0"/>
    <w:rsid w:val="008433E8"/>
    <w:rsid w:val="00846AC2"/>
    <w:rsid w:val="00873DF0"/>
    <w:rsid w:val="00981A38"/>
    <w:rsid w:val="00997A6F"/>
    <w:rsid w:val="00A32911"/>
    <w:rsid w:val="00A505D1"/>
    <w:rsid w:val="00A60287"/>
    <w:rsid w:val="00AC4C0E"/>
    <w:rsid w:val="00AD396B"/>
    <w:rsid w:val="00B46F7B"/>
    <w:rsid w:val="00C739C4"/>
    <w:rsid w:val="00C863E5"/>
    <w:rsid w:val="00CB4ED1"/>
    <w:rsid w:val="00D2569F"/>
    <w:rsid w:val="00D516B8"/>
    <w:rsid w:val="00D6659B"/>
    <w:rsid w:val="00DB2A15"/>
    <w:rsid w:val="00DB6D55"/>
    <w:rsid w:val="00DC78A2"/>
    <w:rsid w:val="00E602F5"/>
    <w:rsid w:val="00E76E52"/>
    <w:rsid w:val="00EB2AC0"/>
    <w:rsid w:val="00F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8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D7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8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E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8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D7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8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E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Univen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Mpfariseni.Ligudu</dc:creator>
  <cp:lastModifiedBy>Mpfariseni Ligudu</cp:lastModifiedBy>
  <cp:revision>2</cp:revision>
  <cp:lastPrinted>2010-10-22T13:20:00Z</cp:lastPrinted>
  <dcterms:created xsi:type="dcterms:W3CDTF">2013-10-15T09:56:00Z</dcterms:created>
  <dcterms:modified xsi:type="dcterms:W3CDTF">2013-10-15T09:56:00Z</dcterms:modified>
</cp:coreProperties>
</file>